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2923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Executive Summary</w:t>
      </w:r>
    </w:p>
    <w:p w14:paraId="606E21E4" w14:textId="1F328A49" w:rsidR="00E306B0" w:rsidRPr="00E306B0" w:rsidRDefault="00E306B0" w:rsidP="00E306B0">
      <w:pPr>
        <w:spacing w:before="100" w:beforeAutospacing="1" w:after="100" w:afterAutospacing="1"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This report provides a comprehensive analysis of the soft drinks industry, focusing on major competitors: Coca-Cola, PepsiCo, Keurig Dr. Pepper, and Monster Beverage. Leveraging financial data from SEC filings, annual reports, and financial databases as of March 20, 2025, it examines key metrics (ROE, P/E, cash flow, dividends), competitive positioning, management quality, insider trading, and private buyer valuations using Benjamin Graham’s model. The industry is valued at $956.78 billion globally, with a 5.02% CAGR projected through 2029, driven by health trends and emerging markets</w:t>
      </w:r>
      <w:r w:rsidR="009C5705">
        <w:rPr>
          <w:rFonts w:ascii="Calibri" w:eastAsia="Times New Roman" w:hAnsi="Calibri" w:cs="Calibri"/>
          <w:kern w:val="0"/>
          <w14:ligatures w14:val="none"/>
        </w:rPr>
        <w:t xml:space="preserve">. </w:t>
      </w:r>
      <w:r w:rsidRPr="00E306B0">
        <w:rPr>
          <w:rFonts w:ascii="Calibri" w:eastAsia="Times New Roman" w:hAnsi="Calibri" w:cs="Calibri"/>
          <w:kern w:val="0"/>
          <w14:ligatures w14:val="none"/>
        </w:rPr>
        <w:t>All firms show financial strength, though insider selling in 2025 and premium valuations warrant attention.</w:t>
      </w:r>
    </w:p>
    <w:p w14:paraId="7C172388" w14:textId="77777777" w:rsidR="00E306B0" w:rsidRPr="00E306B0" w:rsidRDefault="0060691A" w:rsidP="00E306B0">
      <w:pPr>
        <w:spacing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76EF66E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EBB1457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Industry Overview</w:t>
      </w:r>
    </w:p>
    <w:p w14:paraId="0A0811B8" w14:textId="77777777" w:rsidR="00E306B0" w:rsidRPr="00E306B0" w:rsidRDefault="00E306B0" w:rsidP="00E306B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Market Size: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$956.78 billion (2025), with $556.05 billion at-home and $400.73 billion out-of-home consumption; 333.77 billion liters total volume.</w:t>
      </w:r>
    </w:p>
    <w:p w14:paraId="729C7796" w14:textId="77777777" w:rsidR="00E306B0" w:rsidRPr="00E306B0" w:rsidRDefault="00E306B0" w:rsidP="00E306B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Growth Trends: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5.02% CAGR (2025-2029), led by Middle East, Africa, and Asia Pacific (80% volume growth). U.S. market: $285.93 billion (2023), 7.5% CAGR (2024-2030).</w:t>
      </w:r>
    </w:p>
    <w:p w14:paraId="77A4BB16" w14:textId="77777777" w:rsidR="00E306B0" w:rsidRPr="00E306B0" w:rsidRDefault="00E306B0" w:rsidP="00E306B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Key Drivers: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Shift to low-calorie, functional drinks; premiumization; economic growth in emerging markets.</w:t>
      </w:r>
    </w:p>
    <w:p w14:paraId="05AA361A" w14:textId="77777777" w:rsidR="00E306B0" w:rsidRPr="00E306B0" w:rsidRDefault="00E306B0" w:rsidP="00E306B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Challenges: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Sugar taxes, regulatory pressures, intense competition.</w:t>
      </w:r>
    </w:p>
    <w:p w14:paraId="6DEA47B4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i/>
          <w:iCs/>
          <w:kern w:val="0"/>
          <w14:ligatures w14:val="none"/>
        </w:rPr>
        <w:t>Sources: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Euromonitor, Statista</w:t>
      </w:r>
    </w:p>
    <w:p w14:paraId="4FCDB070" w14:textId="77777777" w:rsidR="00E306B0" w:rsidRPr="00E306B0" w:rsidRDefault="0060691A" w:rsidP="00E306B0">
      <w:pPr>
        <w:spacing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48392D2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D683F54" w14:textId="77777777" w:rsidR="00C02140" w:rsidRDefault="00C02140" w:rsidP="00E306B0">
      <w:pPr>
        <w:spacing w:before="100" w:beforeAutospacing="1" w:after="100" w:afterAutospacing="1" w:line="360" w:lineRule="auto"/>
        <w:ind w:firstLine="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</w:p>
    <w:p w14:paraId="20F68FAE" w14:textId="1BFB2933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Company Profiles</w:t>
      </w:r>
    </w:p>
    <w:p w14:paraId="2DF2DBA1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lastRenderedPageBreak/>
        <w:t>1. The Coca-Cola Company</w:t>
      </w:r>
    </w:p>
    <w:p w14:paraId="58E08C06" w14:textId="77777777" w:rsidR="00E306B0" w:rsidRPr="00E306B0" w:rsidRDefault="00E306B0" w:rsidP="00E306B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Financial Metrics (2025):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3968A888" w14:textId="77777777" w:rsidR="00E306B0" w:rsidRPr="00E306B0" w:rsidRDefault="00E306B0" w:rsidP="00E306B0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ROE: 39.55%</w:t>
      </w:r>
    </w:p>
    <w:p w14:paraId="7F1647E3" w14:textId="77777777" w:rsidR="00E306B0" w:rsidRPr="00E306B0" w:rsidRDefault="00E306B0" w:rsidP="00E306B0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P/E: 28.16, P/B: 12.00, EV/EBITDA: 20.74</w:t>
      </w:r>
    </w:p>
    <w:p w14:paraId="14D0D18B" w14:textId="77777777" w:rsidR="00E306B0" w:rsidRPr="00E306B0" w:rsidRDefault="00E306B0" w:rsidP="00E306B0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Operating Cash Flow: $6.81B, Free Cash Flow: $14.96B</w:t>
      </w:r>
    </w:p>
    <w:p w14:paraId="2A038190" w14:textId="77777777" w:rsidR="00E306B0" w:rsidRPr="00E306B0" w:rsidRDefault="00E306B0" w:rsidP="00E306B0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Dividend Payout Ratio: 78.86% (62 years of increases)</w:t>
      </w:r>
    </w:p>
    <w:p w14:paraId="638E3066" w14:textId="77777777" w:rsidR="00E306B0" w:rsidRPr="00E306B0" w:rsidRDefault="00E306B0" w:rsidP="00E306B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Growth Estimates (2025):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Sales: 1.9%, EPS: 2.8%</w:t>
      </w:r>
    </w:p>
    <w:p w14:paraId="60E3B702" w14:textId="77777777" w:rsidR="00E306B0" w:rsidRPr="00E306B0" w:rsidRDefault="00E306B0" w:rsidP="00E306B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Competitive Position: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1AF0AE88" w14:textId="197E43C9" w:rsidR="00E306B0" w:rsidRPr="00E306B0" w:rsidRDefault="00E306B0" w:rsidP="00E306B0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 xml:space="preserve">Strengths: </w:t>
      </w:r>
      <w:r w:rsidR="00C02140">
        <w:rPr>
          <w:rFonts w:ascii="Calibri" w:eastAsia="Times New Roman" w:hAnsi="Calibri" w:cs="Calibri"/>
          <w:kern w:val="0"/>
          <w14:ligatures w14:val="none"/>
        </w:rPr>
        <w:t>Global Brand Dominance</w:t>
      </w:r>
      <w:r w:rsidRPr="00E306B0">
        <w:rPr>
          <w:rFonts w:ascii="Calibri" w:eastAsia="Times New Roman" w:hAnsi="Calibri" w:cs="Calibri"/>
          <w:kern w:val="0"/>
          <w14:ligatures w14:val="none"/>
        </w:rPr>
        <w:t>, 46% U.S. carbonated soft drink share, 200+ countries.</w:t>
      </w:r>
    </w:p>
    <w:p w14:paraId="1E6452FA" w14:textId="77777777" w:rsidR="00E306B0" w:rsidRPr="00E306B0" w:rsidRDefault="00E306B0" w:rsidP="00E306B0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Weaknesses: Slow mature market growth, health trend competition.</w:t>
      </w:r>
    </w:p>
    <w:p w14:paraId="09D003CF" w14:textId="77777777" w:rsidR="00E306B0" w:rsidRPr="00E306B0" w:rsidRDefault="00E306B0" w:rsidP="00E306B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Management: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CEO James Quincey (since 2017), low insider ownership, shareholder-friendly (dividend growth).</w:t>
      </w:r>
    </w:p>
    <w:p w14:paraId="0C2EDE84" w14:textId="77777777" w:rsidR="00E306B0" w:rsidRPr="00E306B0" w:rsidRDefault="00E306B0" w:rsidP="00E306B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Insider Trading: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$10.33M in sales by CEO Quincey (Feb 2025).</w:t>
      </w:r>
    </w:p>
    <w:p w14:paraId="7D1B17E9" w14:textId="77777777" w:rsidR="00E306B0" w:rsidRPr="00E306B0" w:rsidRDefault="00E306B0" w:rsidP="00E306B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EPS vs. Sales Gap: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Efficiency (margin up 230 bps in 2024), $2B buybacks (1% share reduction).</w:t>
      </w:r>
    </w:p>
    <w:p w14:paraId="13713B0F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2. PepsiCo, Inc.</w:t>
      </w:r>
    </w:p>
    <w:p w14:paraId="79F37A33" w14:textId="77777777" w:rsidR="00E306B0" w:rsidRPr="00E306B0" w:rsidRDefault="00E306B0" w:rsidP="00E306B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Financial Metrics (2025):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0CA3E8DF" w14:textId="77777777" w:rsidR="00E306B0" w:rsidRPr="00E306B0" w:rsidRDefault="00E306B0" w:rsidP="00E306B0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ROE: 52.30%</w:t>
      </w:r>
    </w:p>
    <w:p w14:paraId="07296D89" w14:textId="77777777" w:rsidR="00E306B0" w:rsidRPr="00E306B0" w:rsidRDefault="00E306B0" w:rsidP="00E306B0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P/E: 21.31, P/B: 11.26, EV/EBITDA: 14.32</w:t>
      </w:r>
    </w:p>
    <w:p w14:paraId="5B5BCEED" w14:textId="77777777" w:rsidR="00E306B0" w:rsidRPr="00E306B0" w:rsidRDefault="00E306B0" w:rsidP="00E306B0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Operating Cash Flow: $12.51B, Free Cash Flow: $6.92B</w:t>
      </w:r>
    </w:p>
    <w:p w14:paraId="6C1E2FBD" w14:textId="77777777" w:rsidR="00E306B0" w:rsidRPr="00E306B0" w:rsidRDefault="00E306B0" w:rsidP="00E306B0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Dividend Payout Ratio: 76.69%</w:t>
      </w:r>
    </w:p>
    <w:p w14:paraId="5D1A571A" w14:textId="77777777" w:rsidR="00E306B0" w:rsidRPr="00E306B0" w:rsidRDefault="00E306B0" w:rsidP="00E306B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Growth Estimates (2025):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Sales: 2.5%, EPS: 7.0%</w:t>
      </w:r>
    </w:p>
    <w:p w14:paraId="568C5A6F" w14:textId="77777777" w:rsidR="00E306B0" w:rsidRPr="00E306B0" w:rsidRDefault="00E306B0" w:rsidP="00E306B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Competitive Position: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617633EE" w14:textId="77777777" w:rsidR="00E306B0" w:rsidRPr="00E306B0" w:rsidRDefault="00E306B0" w:rsidP="00E306B0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Strengths: Diversified (25% U.S. soft drink share, snacks), 200+ countries.</w:t>
      </w:r>
    </w:p>
    <w:p w14:paraId="0EB328FA" w14:textId="77777777" w:rsidR="00E306B0" w:rsidRPr="00E306B0" w:rsidRDefault="00E306B0" w:rsidP="00E306B0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Weaknesses: Flat North American beverage volumes.</w:t>
      </w:r>
    </w:p>
    <w:p w14:paraId="0A37A76F" w14:textId="77777777" w:rsidR="00E306B0" w:rsidRPr="00E306B0" w:rsidRDefault="00E306B0" w:rsidP="00E306B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Management: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CEO Ramon Laguarta (since 2018), low insider ownership, consistent dividends/buybacks.</w:t>
      </w:r>
    </w:p>
    <w:p w14:paraId="141F1209" w14:textId="77777777" w:rsidR="00E306B0" w:rsidRPr="00E306B0" w:rsidRDefault="00E306B0" w:rsidP="00E306B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Insider Trading: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$1.18M sale by Director Santilli (Mar 2025).</w:t>
      </w:r>
    </w:p>
    <w:p w14:paraId="0703AC67" w14:textId="77777777" w:rsidR="00E306B0" w:rsidRPr="00E306B0" w:rsidRDefault="00E306B0" w:rsidP="00E306B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EPS vs. Sales Gap: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Snack margins (17% operating margin), $1B buybacks (0.7% share reduction).</w:t>
      </w:r>
    </w:p>
    <w:p w14:paraId="32F9A9AF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3. Keurig Dr. Pepper Inc.</w:t>
      </w:r>
    </w:p>
    <w:p w14:paraId="2EEF763E" w14:textId="77777777" w:rsidR="00E306B0" w:rsidRPr="00E306B0" w:rsidRDefault="00E306B0" w:rsidP="00E306B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Financial Metrics (2025):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3397EFEE" w14:textId="77777777" w:rsidR="00E306B0" w:rsidRPr="00E306B0" w:rsidRDefault="00E306B0" w:rsidP="00E306B0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ROE: 5.77%</w:t>
      </w:r>
    </w:p>
    <w:p w14:paraId="66DC5B45" w14:textId="77777777" w:rsidR="00E306B0" w:rsidRPr="00E306B0" w:rsidRDefault="00E306B0" w:rsidP="00E306B0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P/E: 31.88, P/B: 1.87, EV/EBITDA: 18.38</w:t>
      </w:r>
    </w:p>
    <w:p w14:paraId="2EA64FCB" w14:textId="77777777" w:rsidR="00E306B0" w:rsidRPr="00E306B0" w:rsidRDefault="00E306B0" w:rsidP="00E306B0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Operating Cash Flow: $2.22B, Free Cash Flow: $1.29B</w:t>
      </w:r>
    </w:p>
    <w:p w14:paraId="3D4FDD89" w14:textId="77777777" w:rsidR="00E306B0" w:rsidRPr="00E306B0" w:rsidRDefault="00E306B0" w:rsidP="00E306B0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Dividend Payout Ratio: 84.76%</w:t>
      </w:r>
    </w:p>
    <w:p w14:paraId="3BF2B2DA" w14:textId="77777777" w:rsidR="00E306B0" w:rsidRPr="00E306B0" w:rsidRDefault="00E306B0" w:rsidP="00E306B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Growth Estimates (2025):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Sales: 5.3%, EPS: 5.7%</w:t>
      </w:r>
    </w:p>
    <w:p w14:paraId="68C4261E" w14:textId="77777777" w:rsidR="00E306B0" w:rsidRPr="00E306B0" w:rsidRDefault="00E306B0" w:rsidP="00E306B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Competitive Position: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47F72D55" w14:textId="77777777" w:rsidR="00E306B0" w:rsidRPr="00E306B0" w:rsidRDefault="00E306B0" w:rsidP="00E306B0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Strengths: 20% U.S. soft drink share, coffee strength.</w:t>
      </w:r>
    </w:p>
    <w:p w14:paraId="7092E6F3" w14:textId="77777777" w:rsidR="00E306B0" w:rsidRPr="00E306B0" w:rsidRDefault="00E306B0" w:rsidP="00E306B0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Weaknesses: Limited international reach.</w:t>
      </w:r>
    </w:p>
    <w:p w14:paraId="4EB2E6A5" w14:textId="77777777" w:rsidR="00E306B0" w:rsidRPr="00E306B0" w:rsidRDefault="00E306B0" w:rsidP="00E306B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Management: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CEO Tim Cofer (since 2024), low insider ownership.</w:t>
      </w:r>
    </w:p>
    <w:p w14:paraId="40473736" w14:textId="77777777" w:rsidR="00E306B0" w:rsidRPr="00E306B0" w:rsidRDefault="00E306B0" w:rsidP="00E306B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Insider Trading: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$408K sale by CHRO DeNooyer (Mar 2025).</w:t>
      </w:r>
    </w:p>
    <w:p w14:paraId="071DE258" w14:textId="77777777" w:rsidR="00E306B0" w:rsidRPr="00E306B0" w:rsidRDefault="00E306B0" w:rsidP="00E306B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EPS vs. Sales Gap: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Efficiency ($150M savings), $400M buybacks (1% share reduction).</w:t>
      </w:r>
    </w:p>
    <w:p w14:paraId="208107A3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4. Monster Beverage Corporation</w:t>
      </w:r>
    </w:p>
    <w:p w14:paraId="110EBE80" w14:textId="77777777" w:rsidR="00E306B0" w:rsidRPr="00E306B0" w:rsidRDefault="00E306B0" w:rsidP="00E306B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Financial Metrics (2025):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7DAEF682" w14:textId="77777777" w:rsidR="00E306B0" w:rsidRPr="00E306B0" w:rsidRDefault="00E306B0" w:rsidP="00E306B0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ROE: 21.27%</w:t>
      </w:r>
    </w:p>
    <w:p w14:paraId="3C33DA67" w14:textId="77777777" w:rsidR="00E306B0" w:rsidRPr="00E306B0" w:rsidRDefault="00E306B0" w:rsidP="00E306B0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P/E: 38.13, P/B: 9.28, EV/EBITDA: 26.92</w:t>
      </w:r>
    </w:p>
    <w:p w14:paraId="2C4E80F4" w14:textId="77777777" w:rsidR="00E306B0" w:rsidRPr="00E306B0" w:rsidRDefault="00E306B0" w:rsidP="00E306B0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Operating Cash Flow: $1.93B, Free Cash Flow: $1.31B</w:t>
      </w:r>
    </w:p>
    <w:p w14:paraId="5AB5DAD1" w14:textId="77777777" w:rsidR="00E306B0" w:rsidRPr="00E306B0" w:rsidRDefault="00E306B0" w:rsidP="00E306B0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Dividend Payout Ratio: 0.00%</w:t>
      </w:r>
    </w:p>
    <w:p w14:paraId="0D987D63" w14:textId="77777777" w:rsidR="00E306B0" w:rsidRPr="00E306B0" w:rsidRDefault="00E306B0" w:rsidP="00E306B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Growth Estimates (2025):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Sales: 6.3%, EPS: 12.4%</w:t>
      </w:r>
    </w:p>
    <w:p w14:paraId="2E0F034D" w14:textId="77777777" w:rsidR="00E306B0" w:rsidRPr="00E306B0" w:rsidRDefault="00E306B0" w:rsidP="00E306B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Competitive Position: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10FE6DA1" w14:textId="77777777" w:rsidR="00E306B0" w:rsidRPr="00E306B0" w:rsidRDefault="00E306B0" w:rsidP="00E306B0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Strengths: 35% energy drink share, high growth, 130+ countries.</w:t>
      </w:r>
    </w:p>
    <w:p w14:paraId="0BC06600" w14:textId="77777777" w:rsidR="00E306B0" w:rsidRPr="00E306B0" w:rsidRDefault="00E306B0" w:rsidP="00E306B0">
      <w:pPr>
        <w:numPr>
          <w:ilvl w:val="1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lastRenderedPageBreak/>
        <w:t>Weaknesses: Narrow focus.</w:t>
      </w:r>
    </w:p>
    <w:p w14:paraId="6F15BD6D" w14:textId="77777777" w:rsidR="00E306B0" w:rsidRPr="00E306B0" w:rsidRDefault="00E306B0" w:rsidP="00E306B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Management: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Co-CEOs Sacks/Schlosberg (since 2016), 1.2% founder ownership.</w:t>
      </w:r>
    </w:p>
    <w:p w14:paraId="3010FDFA" w14:textId="77777777" w:rsidR="00E306B0" w:rsidRPr="00E306B0" w:rsidRDefault="00E306B0" w:rsidP="00E306B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Insider Trading: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$5.06M sale by CCO Tirre (Mar 2025).</w:t>
      </w:r>
    </w:p>
    <w:p w14:paraId="16EC3192" w14:textId="77777777" w:rsidR="00E306B0" w:rsidRPr="00E306B0" w:rsidRDefault="00E306B0" w:rsidP="00E306B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EPS vs. Sales Gap: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High margins (64.8% gross), $1.5B buybacks (2% share reduction).</w:t>
      </w:r>
    </w:p>
    <w:p w14:paraId="7E366808" w14:textId="77777777" w:rsidR="00E306B0" w:rsidRPr="00E306B0" w:rsidRDefault="0060691A" w:rsidP="00E306B0">
      <w:pPr>
        <w:spacing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3E7EF51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841EB61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Comparative Summary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779"/>
        <w:gridCol w:w="608"/>
        <w:gridCol w:w="608"/>
        <w:gridCol w:w="1154"/>
        <w:gridCol w:w="1265"/>
        <w:gridCol w:w="1061"/>
        <w:gridCol w:w="1191"/>
        <w:gridCol w:w="1107"/>
      </w:tblGrid>
      <w:tr w:rsidR="00E306B0" w:rsidRPr="00E306B0" w14:paraId="748066A8" w14:textId="77777777" w:rsidTr="00E306B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EF8E13" w14:textId="77777777" w:rsidR="00E306B0" w:rsidRPr="00E306B0" w:rsidRDefault="00E306B0" w:rsidP="00E306B0">
            <w:pPr>
              <w:spacing w:line="36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782A64B0" w14:textId="77777777" w:rsidR="00E306B0" w:rsidRPr="00E306B0" w:rsidRDefault="00E306B0" w:rsidP="00E306B0">
            <w:pPr>
              <w:spacing w:line="36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ROE</w:t>
            </w:r>
          </w:p>
        </w:tc>
        <w:tc>
          <w:tcPr>
            <w:tcW w:w="0" w:type="auto"/>
            <w:vAlign w:val="center"/>
            <w:hideMark/>
          </w:tcPr>
          <w:p w14:paraId="0D65A276" w14:textId="77777777" w:rsidR="00E306B0" w:rsidRPr="00E306B0" w:rsidRDefault="00E306B0" w:rsidP="00E306B0">
            <w:pPr>
              <w:spacing w:line="36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P/E</w:t>
            </w:r>
          </w:p>
        </w:tc>
        <w:tc>
          <w:tcPr>
            <w:tcW w:w="0" w:type="auto"/>
            <w:vAlign w:val="center"/>
            <w:hideMark/>
          </w:tcPr>
          <w:p w14:paraId="0F163959" w14:textId="77777777" w:rsidR="00E306B0" w:rsidRPr="00E306B0" w:rsidRDefault="00E306B0" w:rsidP="00E306B0">
            <w:pPr>
              <w:spacing w:line="36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P/B</w:t>
            </w:r>
          </w:p>
        </w:tc>
        <w:tc>
          <w:tcPr>
            <w:tcW w:w="0" w:type="auto"/>
            <w:vAlign w:val="center"/>
            <w:hideMark/>
          </w:tcPr>
          <w:p w14:paraId="62A2D2D0" w14:textId="77777777" w:rsidR="00E306B0" w:rsidRPr="00E306B0" w:rsidRDefault="00E306B0" w:rsidP="00E306B0">
            <w:pPr>
              <w:spacing w:line="36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EV/EBITDA</w:t>
            </w:r>
          </w:p>
        </w:tc>
        <w:tc>
          <w:tcPr>
            <w:tcW w:w="0" w:type="auto"/>
            <w:vAlign w:val="center"/>
            <w:hideMark/>
          </w:tcPr>
          <w:p w14:paraId="1B7E5A58" w14:textId="77777777" w:rsidR="00E306B0" w:rsidRPr="00E306B0" w:rsidRDefault="00E306B0" w:rsidP="00E306B0">
            <w:pPr>
              <w:spacing w:line="36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Op. Cash Flow</w:t>
            </w:r>
          </w:p>
        </w:tc>
        <w:tc>
          <w:tcPr>
            <w:tcW w:w="0" w:type="auto"/>
            <w:vAlign w:val="center"/>
            <w:hideMark/>
          </w:tcPr>
          <w:p w14:paraId="595CA135" w14:textId="77777777" w:rsidR="00E306B0" w:rsidRPr="00E306B0" w:rsidRDefault="00E306B0" w:rsidP="00E306B0">
            <w:pPr>
              <w:spacing w:line="36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Div. Payout</w:t>
            </w:r>
          </w:p>
        </w:tc>
        <w:tc>
          <w:tcPr>
            <w:tcW w:w="0" w:type="auto"/>
            <w:vAlign w:val="center"/>
            <w:hideMark/>
          </w:tcPr>
          <w:p w14:paraId="51A153C8" w14:textId="77777777" w:rsidR="00E306B0" w:rsidRPr="00E306B0" w:rsidRDefault="00E306B0" w:rsidP="00E306B0">
            <w:pPr>
              <w:spacing w:line="36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Sales Growth</w:t>
            </w:r>
          </w:p>
        </w:tc>
        <w:tc>
          <w:tcPr>
            <w:tcW w:w="0" w:type="auto"/>
            <w:vAlign w:val="center"/>
            <w:hideMark/>
          </w:tcPr>
          <w:p w14:paraId="3517FE37" w14:textId="77777777" w:rsidR="00E306B0" w:rsidRPr="00E306B0" w:rsidRDefault="00E306B0" w:rsidP="00E306B0">
            <w:pPr>
              <w:spacing w:line="36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EPS Growth</w:t>
            </w:r>
          </w:p>
        </w:tc>
      </w:tr>
      <w:tr w:rsidR="00E306B0" w:rsidRPr="00E306B0" w14:paraId="0067EBC5" w14:textId="77777777" w:rsidTr="00E306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F43B2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Coca-Cola</w:t>
            </w:r>
          </w:p>
        </w:tc>
        <w:tc>
          <w:tcPr>
            <w:tcW w:w="0" w:type="auto"/>
            <w:vAlign w:val="center"/>
            <w:hideMark/>
          </w:tcPr>
          <w:p w14:paraId="02050FDC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39.55%</w:t>
            </w:r>
          </w:p>
        </w:tc>
        <w:tc>
          <w:tcPr>
            <w:tcW w:w="0" w:type="auto"/>
            <w:vAlign w:val="center"/>
            <w:hideMark/>
          </w:tcPr>
          <w:p w14:paraId="173E18B5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28.16</w:t>
            </w:r>
          </w:p>
        </w:tc>
        <w:tc>
          <w:tcPr>
            <w:tcW w:w="0" w:type="auto"/>
            <w:vAlign w:val="center"/>
            <w:hideMark/>
          </w:tcPr>
          <w:p w14:paraId="44468A8F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12.00</w:t>
            </w:r>
          </w:p>
        </w:tc>
        <w:tc>
          <w:tcPr>
            <w:tcW w:w="0" w:type="auto"/>
            <w:vAlign w:val="center"/>
            <w:hideMark/>
          </w:tcPr>
          <w:p w14:paraId="613E6045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20.74</w:t>
            </w:r>
          </w:p>
        </w:tc>
        <w:tc>
          <w:tcPr>
            <w:tcW w:w="0" w:type="auto"/>
            <w:vAlign w:val="center"/>
            <w:hideMark/>
          </w:tcPr>
          <w:p w14:paraId="31002C7B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$6.81B</w:t>
            </w:r>
          </w:p>
        </w:tc>
        <w:tc>
          <w:tcPr>
            <w:tcW w:w="0" w:type="auto"/>
            <w:vAlign w:val="center"/>
            <w:hideMark/>
          </w:tcPr>
          <w:p w14:paraId="6EB7365C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78.86%</w:t>
            </w:r>
          </w:p>
        </w:tc>
        <w:tc>
          <w:tcPr>
            <w:tcW w:w="0" w:type="auto"/>
            <w:vAlign w:val="center"/>
            <w:hideMark/>
          </w:tcPr>
          <w:p w14:paraId="05AD52CC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1.9%</w:t>
            </w:r>
          </w:p>
        </w:tc>
        <w:tc>
          <w:tcPr>
            <w:tcW w:w="0" w:type="auto"/>
            <w:vAlign w:val="center"/>
            <w:hideMark/>
          </w:tcPr>
          <w:p w14:paraId="654E1AD3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2.8%</w:t>
            </w:r>
          </w:p>
        </w:tc>
      </w:tr>
      <w:tr w:rsidR="00E306B0" w:rsidRPr="00E306B0" w14:paraId="5DD2ACDB" w14:textId="77777777" w:rsidTr="00E306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C9340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PepsiCo</w:t>
            </w:r>
          </w:p>
        </w:tc>
        <w:tc>
          <w:tcPr>
            <w:tcW w:w="0" w:type="auto"/>
            <w:vAlign w:val="center"/>
            <w:hideMark/>
          </w:tcPr>
          <w:p w14:paraId="1C39B7F3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52.30%</w:t>
            </w:r>
          </w:p>
        </w:tc>
        <w:tc>
          <w:tcPr>
            <w:tcW w:w="0" w:type="auto"/>
            <w:vAlign w:val="center"/>
            <w:hideMark/>
          </w:tcPr>
          <w:p w14:paraId="6D52A1E4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21.31</w:t>
            </w:r>
          </w:p>
        </w:tc>
        <w:tc>
          <w:tcPr>
            <w:tcW w:w="0" w:type="auto"/>
            <w:vAlign w:val="center"/>
            <w:hideMark/>
          </w:tcPr>
          <w:p w14:paraId="1619A603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11.26</w:t>
            </w:r>
          </w:p>
        </w:tc>
        <w:tc>
          <w:tcPr>
            <w:tcW w:w="0" w:type="auto"/>
            <w:vAlign w:val="center"/>
            <w:hideMark/>
          </w:tcPr>
          <w:p w14:paraId="71027011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14.32</w:t>
            </w:r>
          </w:p>
        </w:tc>
        <w:tc>
          <w:tcPr>
            <w:tcW w:w="0" w:type="auto"/>
            <w:vAlign w:val="center"/>
            <w:hideMark/>
          </w:tcPr>
          <w:p w14:paraId="0592381C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$12.51B</w:t>
            </w:r>
          </w:p>
        </w:tc>
        <w:tc>
          <w:tcPr>
            <w:tcW w:w="0" w:type="auto"/>
            <w:vAlign w:val="center"/>
            <w:hideMark/>
          </w:tcPr>
          <w:p w14:paraId="557F4E48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76.69%</w:t>
            </w:r>
          </w:p>
        </w:tc>
        <w:tc>
          <w:tcPr>
            <w:tcW w:w="0" w:type="auto"/>
            <w:vAlign w:val="center"/>
            <w:hideMark/>
          </w:tcPr>
          <w:p w14:paraId="0FEAFE45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2.5%</w:t>
            </w:r>
          </w:p>
        </w:tc>
        <w:tc>
          <w:tcPr>
            <w:tcW w:w="0" w:type="auto"/>
            <w:vAlign w:val="center"/>
            <w:hideMark/>
          </w:tcPr>
          <w:p w14:paraId="452955F0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7.0%</w:t>
            </w:r>
          </w:p>
        </w:tc>
      </w:tr>
      <w:tr w:rsidR="00E306B0" w:rsidRPr="00E306B0" w14:paraId="69A5410B" w14:textId="77777777" w:rsidTr="00E306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E3123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Keurig Dr. Pepper</w:t>
            </w:r>
          </w:p>
        </w:tc>
        <w:tc>
          <w:tcPr>
            <w:tcW w:w="0" w:type="auto"/>
            <w:vAlign w:val="center"/>
            <w:hideMark/>
          </w:tcPr>
          <w:p w14:paraId="4AEFF4EA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5.77%</w:t>
            </w:r>
          </w:p>
        </w:tc>
        <w:tc>
          <w:tcPr>
            <w:tcW w:w="0" w:type="auto"/>
            <w:vAlign w:val="center"/>
            <w:hideMark/>
          </w:tcPr>
          <w:p w14:paraId="72938FBE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31.88</w:t>
            </w:r>
          </w:p>
        </w:tc>
        <w:tc>
          <w:tcPr>
            <w:tcW w:w="0" w:type="auto"/>
            <w:vAlign w:val="center"/>
            <w:hideMark/>
          </w:tcPr>
          <w:p w14:paraId="21FE6AF4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1.87</w:t>
            </w:r>
          </w:p>
        </w:tc>
        <w:tc>
          <w:tcPr>
            <w:tcW w:w="0" w:type="auto"/>
            <w:vAlign w:val="center"/>
            <w:hideMark/>
          </w:tcPr>
          <w:p w14:paraId="3859E0F1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18.38</w:t>
            </w:r>
          </w:p>
        </w:tc>
        <w:tc>
          <w:tcPr>
            <w:tcW w:w="0" w:type="auto"/>
            <w:vAlign w:val="center"/>
            <w:hideMark/>
          </w:tcPr>
          <w:p w14:paraId="6B175045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$2.22B</w:t>
            </w:r>
          </w:p>
        </w:tc>
        <w:tc>
          <w:tcPr>
            <w:tcW w:w="0" w:type="auto"/>
            <w:vAlign w:val="center"/>
            <w:hideMark/>
          </w:tcPr>
          <w:p w14:paraId="786F5548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84.76%</w:t>
            </w:r>
          </w:p>
        </w:tc>
        <w:tc>
          <w:tcPr>
            <w:tcW w:w="0" w:type="auto"/>
            <w:vAlign w:val="center"/>
            <w:hideMark/>
          </w:tcPr>
          <w:p w14:paraId="6227B2DA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5.3%</w:t>
            </w:r>
          </w:p>
        </w:tc>
        <w:tc>
          <w:tcPr>
            <w:tcW w:w="0" w:type="auto"/>
            <w:vAlign w:val="center"/>
            <w:hideMark/>
          </w:tcPr>
          <w:p w14:paraId="28052D3D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5.7%</w:t>
            </w:r>
          </w:p>
        </w:tc>
      </w:tr>
      <w:tr w:rsidR="00E306B0" w:rsidRPr="00E306B0" w14:paraId="285B6648" w14:textId="77777777" w:rsidTr="00E306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D3291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Monster Beverage</w:t>
            </w:r>
          </w:p>
        </w:tc>
        <w:tc>
          <w:tcPr>
            <w:tcW w:w="0" w:type="auto"/>
            <w:vAlign w:val="center"/>
            <w:hideMark/>
          </w:tcPr>
          <w:p w14:paraId="0C49A9EA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21.27%</w:t>
            </w:r>
          </w:p>
        </w:tc>
        <w:tc>
          <w:tcPr>
            <w:tcW w:w="0" w:type="auto"/>
            <w:vAlign w:val="center"/>
            <w:hideMark/>
          </w:tcPr>
          <w:p w14:paraId="01082332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38.13</w:t>
            </w:r>
          </w:p>
        </w:tc>
        <w:tc>
          <w:tcPr>
            <w:tcW w:w="0" w:type="auto"/>
            <w:vAlign w:val="center"/>
            <w:hideMark/>
          </w:tcPr>
          <w:p w14:paraId="303AD695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9.28</w:t>
            </w:r>
          </w:p>
        </w:tc>
        <w:tc>
          <w:tcPr>
            <w:tcW w:w="0" w:type="auto"/>
            <w:vAlign w:val="center"/>
            <w:hideMark/>
          </w:tcPr>
          <w:p w14:paraId="5C46EC6B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26.92</w:t>
            </w:r>
          </w:p>
        </w:tc>
        <w:tc>
          <w:tcPr>
            <w:tcW w:w="0" w:type="auto"/>
            <w:vAlign w:val="center"/>
            <w:hideMark/>
          </w:tcPr>
          <w:p w14:paraId="27E8A57E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$1.93B</w:t>
            </w:r>
          </w:p>
        </w:tc>
        <w:tc>
          <w:tcPr>
            <w:tcW w:w="0" w:type="auto"/>
            <w:vAlign w:val="center"/>
            <w:hideMark/>
          </w:tcPr>
          <w:p w14:paraId="2321A220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0.00%</w:t>
            </w:r>
          </w:p>
        </w:tc>
        <w:tc>
          <w:tcPr>
            <w:tcW w:w="0" w:type="auto"/>
            <w:vAlign w:val="center"/>
            <w:hideMark/>
          </w:tcPr>
          <w:p w14:paraId="5C5566D0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6.3%</w:t>
            </w:r>
          </w:p>
        </w:tc>
        <w:tc>
          <w:tcPr>
            <w:tcW w:w="0" w:type="auto"/>
            <w:vAlign w:val="center"/>
            <w:hideMark/>
          </w:tcPr>
          <w:p w14:paraId="53561473" w14:textId="77777777" w:rsidR="00E306B0" w:rsidRPr="00E306B0" w:rsidRDefault="00E306B0" w:rsidP="00E306B0">
            <w:pPr>
              <w:spacing w:line="360" w:lineRule="auto"/>
              <w:ind w:firstLine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E306B0">
              <w:rPr>
                <w:rFonts w:ascii="Calibri" w:eastAsia="Times New Roman" w:hAnsi="Calibri" w:cs="Calibri"/>
                <w:kern w:val="0"/>
                <w14:ligatures w14:val="none"/>
              </w:rPr>
              <w:t>12.4%</w:t>
            </w:r>
          </w:p>
        </w:tc>
      </w:tr>
    </w:tbl>
    <w:p w14:paraId="556F9E37" w14:textId="77777777" w:rsidR="00E306B0" w:rsidRPr="00E306B0" w:rsidRDefault="0060691A" w:rsidP="00E306B0">
      <w:pPr>
        <w:spacing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0A6260A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6157774" w14:textId="47591163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Private Buyer Valuation (</w:t>
      </w:r>
      <w:r w:rsidR="006D2604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Simple B</w:t>
      </w:r>
      <w:r w:rsidRPr="00E306B0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enjamin Graham Model)</w:t>
      </w:r>
    </w:p>
    <w:p w14:paraId="70945DF3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Using EPS × (8.5 + 2g) × 4.4 / Y, with Y = 5.32% (AAA bond yield), and actual 2025 growth rates:</w:t>
      </w:r>
    </w:p>
    <w:p w14:paraId="06E5380E" w14:textId="77777777" w:rsidR="00E306B0" w:rsidRPr="00E306B0" w:rsidRDefault="00E306B0" w:rsidP="00E306B0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Coca-Cola: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EPS: $2.13, g: 2.8%, IV/Share: $27.62, Total IV: $137.3B (vs. $298.15B market cap).</w:t>
      </w:r>
    </w:p>
    <w:p w14:paraId="22A41F78" w14:textId="77777777" w:rsidR="00E306B0" w:rsidRPr="00E306B0" w:rsidRDefault="00E306B0" w:rsidP="00E306B0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PepsiCo: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EPS: $7.54, g: 7.0%, IV/Share: $117.23, Total IV: $134.8B (vs. $203.13B).</w:t>
      </w:r>
    </w:p>
    <w:p w14:paraId="0D5802C8" w14:textId="77777777" w:rsidR="00E306B0" w:rsidRPr="00E306B0" w:rsidRDefault="00E306B0" w:rsidP="00E306B0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Keurig Dr. Pepper: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EPS: $1.09, g: 5.7%, IV/Share: $16.26, Total IV: $22.4B (vs. $45.41B).</w:t>
      </w:r>
    </w:p>
    <w:p w14:paraId="046F7160" w14:textId="5A9737C2" w:rsidR="00E306B0" w:rsidRPr="00E306B0" w:rsidRDefault="00E306B0" w:rsidP="00E306B0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Monster Beverage: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EPS: $1.57, g: 12.4%, IV/Share: $27.43, Total IV: $25.2B (vs. $55.29B).</w:t>
      </w:r>
      <w:r w:rsidRPr="00E306B0">
        <w:rPr>
          <w:rFonts w:ascii="Calibri" w:eastAsia="Times New Roman" w:hAnsi="Calibri" w:cs="Calibri"/>
          <w:kern w:val="0"/>
          <w14:ligatures w14:val="none"/>
        </w:rPr>
        <w:br/>
      </w:r>
      <w:r w:rsidRPr="00E306B0">
        <w:rPr>
          <w:rFonts w:ascii="Calibri" w:eastAsia="Times New Roman" w:hAnsi="Calibri" w:cs="Calibri"/>
          <w:i/>
          <w:iCs/>
          <w:kern w:val="0"/>
          <w14:ligatures w14:val="none"/>
        </w:rPr>
        <w:lastRenderedPageBreak/>
        <w:t>Note: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All trade above</w:t>
      </w:r>
      <w:r w:rsidR="006D2604">
        <w:rPr>
          <w:rFonts w:ascii="Calibri" w:eastAsia="Times New Roman" w:hAnsi="Calibri" w:cs="Calibri"/>
          <w:kern w:val="0"/>
          <w14:ligatures w14:val="none"/>
        </w:rPr>
        <w:t xml:space="preserve"> Ben Graham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intrinsic value, reflecting brand premiums and growth expectations.</w:t>
      </w:r>
    </w:p>
    <w:p w14:paraId="425D24A0" w14:textId="77777777" w:rsidR="00E306B0" w:rsidRPr="00E306B0" w:rsidRDefault="0060691A" w:rsidP="00E306B0">
      <w:pPr>
        <w:spacing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23BB5DE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A52E32C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Competitive Landscape Conclusion</w:t>
      </w:r>
    </w:p>
    <w:p w14:paraId="28E1C8AE" w14:textId="77777777" w:rsidR="00E306B0" w:rsidRPr="00E306B0" w:rsidRDefault="00E306B0" w:rsidP="00E306B0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Coca-Cola &amp; PepsiCo: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Leaders with global reach, high ROE, and stability; best for long-term value.</w:t>
      </w:r>
    </w:p>
    <w:p w14:paraId="78DC8FCD" w14:textId="77777777" w:rsidR="00E306B0" w:rsidRPr="00E306B0" w:rsidRDefault="00E306B0" w:rsidP="00E306B0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Keurig Dr. Pepper: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U.S.-focused, balanced growth, but limited internationally.</w:t>
      </w:r>
    </w:p>
    <w:p w14:paraId="4085AE73" w14:textId="77777777" w:rsidR="00E306B0" w:rsidRPr="00E306B0" w:rsidRDefault="00E306B0" w:rsidP="00E306B0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14:ligatures w14:val="none"/>
        </w:rPr>
        <w:t>Monster Beverage:</w:t>
      </w:r>
      <w:r w:rsidRPr="00E306B0">
        <w:rPr>
          <w:rFonts w:ascii="Calibri" w:eastAsia="Times New Roman" w:hAnsi="Calibri" w:cs="Calibri"/>
          <w:kern w:val="0"/>
          <w14:ligatures w14:val="none"/>
        </w:rPr>
        <w:t xml:space="preserve"> High-growth energy drink leader, riskier due to focus and valuation.</w:t>
      </w:r>
    </w:p>
    <w:p w14:paraId="638238BC" w14:textId="076606DB" w:rsidR="00E306B0" w:rsidRPr="00E306B0" w:rsidRDefault="006D2604" w:rsidP="00E306B0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Overall:</w:t>
      </w:r>
      <w:r w:rsidR="00E306B0" w:rsidRPr="00E306B0">
        <w:rPr>
          <w:rFonts w:ascii="Calibri" w:eastAsia="Times New Roman" w:hAnsi="Calibri" w:cs="Calibri"/>
          <w:kern w:val="0"/>
          <w14:ligatures w14:val="none"/>
        </w:rPr>
        <w:t xml:space="preserve"> Insider selling (2025) and premium valuations suggest caution; </w:t>
      </w:r>
      <w:r>
        <w:rPr>
          <w:rFonts w:ascii="Calibri" w:eastAsia="Times New Roman" w:hAnsi="Calibri" w:cs="Calibri"/>
          <w:kern w:val="0"/>
          <w14:ligatures w14:val="none"/>
        </w:rPr>
        <w:t xml:space="preserve">revenue </w:t>
      </w:r>
      <w:r w:rsidR="00E306B0" w:rsidRPr="00E306B0">
        <w:rPr>
          <w:rFonts w:ascii="Calibri" w:eastAsia="Times New Roman" w:hAnsi="Calibri" w:cs="Calibri"/>
          <w:kern w:val="0"/>
          <w14:ligatures w14:val="none"/>
        </w:rPr>
        <w:t xml:space="preserve">growth and </w:t>
      </w:r>
      <w:r>
        <w:rPr>
          <w:rFonts w:ascii="Calibri" w:eastAsia="Times New Roman" w:hAnsi="Calibri" w:cs="Calibri"/>
          <w:kern w:val="0"/>
          <w14:ligatures w14:val="none"/>
        </w:rPr>
        <w:t xml:space="preserve">increased </w:t>
      </w:r>
      <w:r w:rsidR="00E306B0" w:rsidRPr="00E306B0">
        <w:rPr>
          <w:rFonts w:ascii="Calibri" w:eastAsia="Times New Roman" w:hAnsi="Calibri" w:cs="Calibri"/>
          <w:kern w:val="0"/>
          <w14:ligatures w14:val="none"/>
        </w:rPr>
        <w:t xml:space="preserve">efficiency </w:t>
      </w:r>
      <w:r>
        <w:rPr>
          <w:rFonts w:ascii="Calibri" w:eastAsia="Times New Roman" w:hAnsi="Calibri" w:cs="Calibri"/>
          <w:kern w:val="0"/>
          <w14:ligatures w14:val="none"/>
        </w:rPr>
        <w:t xml:space="preserve">are </w:t>
      </w:r>
      <w:r w:rsidR="00E306B0" w:rsidRPr="00E306B0">
        <w:rPr>
          <w:rFonts w:ascii="Calibri" w:eastAsia="Times New Roman" w:hAnsi="Calibri" w:cs="Calibri"/>
          <w:kern w:val="0"/>
          <w14:ligatures w14:val="none"/>
        </w:rPr>
        <w:t>driv</w:t>
      </w:r>
      <w:r>
        <w:rPr>
          <w:rFonts w:ascii="Calibri" w:eastAsia="Times New Roman" w:hAnsi="Calibri" w:cs="Calibri"/>
          <w:kern w:val="0"/>
          <w14:ligatures w14:val="none"/>
        </w:rPr>
        <w:t>ing</w:t>
      </w:r>
      <w:r w:rsidR="00E306B0" w:rsidRPr="00E306B0">
        <w:rPr>
          <w:rFonts w:ascii="Calibri" w:eastAsia="Times New Roman" w:hAnsi="Calibri" w:cs="Calibri"/>
          <w:kern w:val="0"/>
          <w14:ligatures w14:val="none"/>
        </w:rPr>
        <w:t xml:space="preserve"> EPS gains.</w:t>
      </w:r>
    </w:p>
    <w:p w14:paraId="15C75EAA" w14:textId="77777777" w:rsidR="00E306B0" w:rsidRPr="00E306B0" w:rsidRDefault="0060691A" w:rsidP="00E306B0">
      <w:pPr>
        <w:spacing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47ED127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C87557C" w14:textId="77777777" w:rsidR="00E306B0" w:rsidRPr="00E306B0" w:rsidRDefault="00E306B0" w:rsidP="00E306B0">
      <w:pPr>
        <w:spacing w:before="100" w:beforeAutospacing="1" w:after="100" w:afterAutospacing="1" w:line="360" w:lineRule="auto"/>
        <w:ind w:firstLine="0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 w:rsidRPr="00E306B0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Sources</w:t>
      </w:r>
    </w:p>
    <w:p w14:paraId="0EE73298" w14:textId="77777777" w:rsidR="00E306B0" w:rsidRPr="00E306B0" w:rsidRDefault="00E306B0" w:rsidP="00E306B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Coca-Cola, PepsiCo, Keurig Dr. Pepper, Monster Beverage Investor Relations (2024 filings)</w:t>
      </w:r>
    </w:p>
    <w:p w14:paraId="568C9BB4" w14:textId="77777777" w:rsidR="00E306B0" w:rsidRPr="00E306B0" w:rsidRDefault="00E306B0" w:rsidP="00E306B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Yahoo Finance, Zacks Equity Research (March 2025 data)</w:t>
      </w:r>
    </w:p>
    <w:p w14:paraId="6B3E21DA" w14:textId="77777777" w:rsidR="00E306B0" w:rsidRPr="00E306B0" w:rsidRDefault="00E306B0" w:rsidP="00E306B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Euromonitor, Statista (industry trends)</w:t>
      </w:r>
    </w:p>
    <w:p w14:paraId="49A5A3C0" w14:textId="77777777" w:rsidR="00E306B0" w:rsidRDefault="00E306B0" w:rsidP="00E306B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14:ligatures w14:val="none"/>
        </w:rPr>
      </w:pPr>
      <w:r w:rsidRPr="00E306B0">
        <w:rPr>
          <w:rFonts w:ascii="Calibri" w:eastAsia="Times New Roman" w:hAnsi="Calibri" w:cs="Calibri"/>
          <w:kern w:val="0"/>
          <w14:ligatures w14:val="none"/>
        </w:rPr>
        <w:t>Moody’s (bond yield)</w:t>
      </w:r>
    </w:p>
    <w:p w14:paraId="2DE0E7A3" w14:textId="77777777" w:rsidR="00A578A8" w:rsidRDefault="00A578A8" w:rsidP="00A578A8">
      <w:pPr>
        <w:spacing w:before="100" w:beforeAutospacing="1" w:after="100" w:afterAutospacing="1"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</w:p>
    <w:p w14:paraId="663BF7AC" w14:textId="77777777" w:rsidR="00A578A8" w:rsidRDefault="00A578A8" w:rsidP="00A578A8">
      <w:pPr>
        <w:spacing w:before="100" w:beforeAutospacing="1" w:after="100" w:afterAutospacing="1" w:line="360" w:lineRule="auto"/>
        <w:ind w:firstLine="0"/>
        <w:rPr>
          <w:rFonts w:ascii="Calibri" w:eastAsia="Times New Roman" w:hAnsi="Calibri" w:cs="Calibri"/>
          <w:kern w:val="0"/>
          <w14:ligatures w14:val="none"/>
        </w:rPr>
      </w:pPr>
    </w:p>
    <w:p w14:paraId="0D058F21" w14:textId="7C5BEB64" w:rsidR="00A578A8" w:rsidRDefault="00A578A8" w:rsidP="00A578A8">
      <w:pPr>
        <w:spacing w:before="100" w:beforeAutospacing="1" w:after="100" w:afterAutospacing="1" w:line="360" w:lineRule="auto"/>
        <w:ind w:firstLine="0"/>
        <w:rPr>
          <w:rFonts w:ascii="Calibri" w:eastAsia="Times New Roman" w:hAnsi="Calibri" w:cs="Calibri"/>
          <w:b/>
          <w:kern w:val="0"/>
          <w14:ligatures w14:val="none"/>
        </w:rPr>
      </w:pPr>
      <w:r>
        <w:rPr>
          <w:rFonts w:ascii="Calibri" w:eastAsia="Times New Roman" w:hAnsi="Calibri" w:cs="Calibri"/>
          <w:b/>
          <w:kern w:val="0"/>
          <w14:ligatures w14:val="none"/>
        </w:rPr>
        <w:t>ADDITIONAL NOTES</w:t>
      </w:r>
    </w:p>
    <w:p w14:paraId="68940552" w14:textId="7F495872" w:rsidR="00A578A8" w:rsidRDefault="00A578A8" w:rsidP="00A578A8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bCs/>
          <w:kern w:val="0"/>
          <w14:ligatures w14:val="none"/>
        </w:rPr>
      </w:pPr>
      <w:r w:rsidRPr="00A578A8">
        <w:rPr>
          <w:rFonts w:ascii="Calibri" w:eastAsia="Times New Roman" w:hAnsi="Calibri" w:cs="Calibri"/>
          <w:bCs/>
          <w:kern w:val="0"/>
          <w14:ligatures w14:val="none"/>
        </w:rPr>
        <w:t>Pepsi has higher LTM ROA (9%), ROIC (20.7%), and ROCE (</w:t>
      </w:r>
      <w:r>
        <w:rPr>
          <w:rFonts w:ascii="Calibri" w:eastAsia="Times New Roman" w:hAnsi="Calibri" w:cs="Calibri"/>
          <w:bCs/>
          <w:kern w:val="0"/>
          <w14:ligatures w14:val="none"/>
        </w:rPr>
        <w:t>21.2%)</w:t>
      </w:r>
    </w:p>
    <w:p w14:paraId="2B90258F" w14:textId="743DD90C" w:rsidR="00A578A8" w:rsidRDefault="00A578A8" w:rsidP="00A578A8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bCs/>
          <w:kern w:val="0"/>
          <w14:ligatures w14:val="none"/>
        </w:rPr>
      </w:pPr>
      <w:r>
        <w:rPr>
          <w:rFonts w:ascii="Calibri" w:eastAsia="Times New Roman" w:hAnsi="Calibri" w:cs="Calibri"/>
          <w:bCs/>
          <w:kern w:val="0"/>
          <w14:ligatures w14:val="none"/>
        </w:rPr>
        <w:t>Coke – ROA (9%), ROIC (18.9%), ROCE (19%)</w:t>
      </w:r>
    </w:p>
    <w:p w14:paraId="74F99537" w14:textId="2BCCC0AC" w:rsidR="00A578A8" w:rsidRDefault="00A578A8" w:rsidP="00A578A8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bCs/>
          <w:kern w:val="0"/>
          <w14:ligatures w14:val="none"/>
        </w:rPr>
      </w:pPr>
      <w:r>
        <w:rPr>
          <w:rFonts w:ascii="Calibri" w:eastAsia="Times New Roman" w:hAnsi="Calibri" w:cs="Calibri"/>
          <w:bCs/>
          <w:kern w:val="0"/>
          <w14:ligatures w14:val="none"/>
        </w:rPr>
        <w:lastRenderedPageBreak/>
        <w:t>Coke has higher Last 3 year Revenue CAGR (6.7%) but lower EPS CAGR (7.5%)</w:t>
      </w:r>
    </w:p>
    <w:p w14:paraId="3530352E" w14:textId="05C9A407" w:rsidR="00A578A8" w:rsidRDefault="00A578A8" w:rsidP="00A578A8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bCs/>
          <w:kern w:val="0"/>
          <w14:ligatures w14:val="none"/>
        </w:rPr>
      </w:pPr>
      <w:r>
        <w:rPr>
          <w:rFonts w:ascii="Calibri" w:eastAsia="Times New Roman" w:hAnsi="Calibri" w:cs="Calibri"/>
          <w:bCs/>
          <w:kern w:val="0"/>
          <w14:ligatures w14:val="none"/>
        </w:rPr>
        <w:t>Pepsi – Last 3 year Revenue CAGR is 4.9%, EPS CAGR 9.2%</w:t>
      </w:r>
    </w:p>
    <w:p w14:paraId="407EC3A4" w14:textId="107F80F1" w:rsidR="00A578A8" w:rsidRDefault="00A578A8" w:rsidP="00A578A8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bCs/>
          <w:kern w:val="0"/>
          <w14:ligatures w14:val="none"/>
        </w:rPr>
      </w:pPr>
      <w:r>
        <w:rPr>
          <w:rFonts w:ascii="Calibri" w:eastAsia="Times New Roman" w:hAnsi="Calibri" w:cs="Calibri"/>
          <w:bCs/>
          <w:kern w:val="0"/>
          <w14:ligatures w14:val="none"/>
        </w:rPr>
        <w:t>Coke has higher projected 2 year revenue CAGR (3.6%) and EPS CAGR (5.2%)</w:t>
      </w:r>
    </w:p>
    <w:p w14:paraId="05AB508F" w14:textId="2F8A0ABB" w:rsidR="00A578A8" w:rsidRPr="00A578A8" w:rsidRDefault="00A578A8" w:rsidP="00A578A8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bCs/>
          <w:kern w:val="0"/>
          <w14:ligatures w14:val="none"/>
        </w:rPr>
      </w:pPr>
      <w:r>
        <w:rPr>
          <w:rFonts w:ascii="Calibri" w:eastAsia="Times New Roman" w:hAnsi="Calibri" w:cs="Calibri"/>
          <w:bCs/>
          <w:kern w:val="0"/>
          <w14:ligatures w14:val="none"/>
        </w:rPr>
        <w:t>Pepsi – revenue CAGR 1.9%, EPS CAGR 4%</w:t>
      </w:r>
    </w:p>
    <w:p w14:paraId="6FC211CB" w14:textId="77777777" w:rsidR="00E306B0" w:rsidRDefault="00E306B0" w:rsidP="00E306B0"/>
    <w:sectPr w:rsidR="00E306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2B13"/>
    <w:multiLevelType w:val="multilevel"/>
    <w:tmpl w:val="84DA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46929"/>
    <w:multiLevelType w:val="multilevel"/>
    <w:tmpl w:val="1DF8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E138B"/>
    <w:multiLevelType w:val="multilevel"/>
    <w:tmpl w:val="F7E4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97D42"/>
    <w:multiLevelType w:val="multilevel"/>
    <w:tmpl w:val="5282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7C7D93"/>
    <w:multiLevelType w:val="multilevel"/>
    <w:tmpl w:val="A662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B71A1"/>
    <w:multiLevelType w:val="hybridMultilevel"/>
    <w:tmpl w:val="3BF45878"/>
    <w:lvl w:ilvl="0" w:tplc="817265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433D46"/>
    <w:multiLevelType w:val="multilevel"/>
    <w:tmpl w:val="BCCA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4F2D8F"/>
    <w:multiLevelType w:val="multilevel"/>
    <w:tmpl w:val="1872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E244EA"/>
    <w:multiLevelType w:val="multilevel"/>
    <w:tmpl w:val="2520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311159">
    <w:abstractNumId w:val="5"/>
  </w:num>
  <w:num w:numId="2" w16cid:durableId="692996097">
    <w:abstractNumId w:val="7"/>
  </w:num>
  <w:num w:numId="3" w16cid:durableId="416026881">
    <w:abstractNumId w:val="1"/>
  </w:num>
  <w:num w:numId="4" w16cid:durableId="1269045499">
    <w:abstractNumId w:val="0"/>
  </w:num>
  <w:num w:numId="5" w16cid:durableId="2106684584">
    <w:abstractNumId w:val="8"/>
  </w:num>
  <w:num w:numId="6" w16cid:durableId="1518501043">
    <w:abstractNumId w:val="2"/>
  </w:num>
  <w:num w:numId="7" w16cid:durableId="1985500036">
    <w:abstractNumId w:val="3"/>
  </w:num>
  <w:num w:numId="8" w16cid:durableId="27335320">
    <w:abstractNumId w:val="4"/>
  </w:num>
  <w:num w:numId="9" w16cid:durableId="19717445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B0"/>
    <w:rsid w:val="000F775B"/>
    <w:rsid w:val="0013061B"/>
    <w:rsid w:val="001637A2"/>
    <w:rsid w:val="00306270"/>
    <w:rsid w:val="003949CA"/>
    <w:rsid w:val="0060691A"/>
    <w:rsid w:val="006D2604"/>
    <w:rsid w:val="006D69A2"/>
    <w:rsid w:val="0070375D"/>
    <w:rsid w:val="00851D02"/>
    <w:rsid w:val="00924B7D"/>
    <w:rsid w:val="009C5705"/>
    <w:rsid w:val="00A5370D"/>
    <w:rsid w:val="00A578A8"/>
    <w:rsid w:val="00B35C0A"/>
    <w:rsid w:val="00B91343"/>
    <w:rsid w:val="00BA41B5"/>
    <w:rsid w:val="00C02140"/>
    <w:rsid w:val="00E306B0"/>
    <w:rsid w:val="00ED7E40"/>
    <w:rsid w:val="00F3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0E2FE"/>
  <w15:chartTrackingRefBased/>
  <w15:docId w15:val="{6D2C7389-3B51-C64D-89DE-E2DBAA8D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6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6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6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6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6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6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6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6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06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06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6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6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6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6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6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6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6B0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6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6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6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6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6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6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6B0"/>
    <w:rPr>
      <w:b/>
      <w:bCs/>
      <w:smallCaps/>
      <w:color w:val="0F4761" w:themeColor="accent1" w:themeShade="BF"/>
      <w:spacing w:val="5"/>
    </w:rPr>
  </w:style>
  <w:style w:type="paragraph" w:customStyle="1" w:styleId="break-words">
    <w:name w:val="break-words"/>
    <w:basedOn w:val="Normal"/>
    <w:rsid w:val="00E306B0"/>
    <w:pPr>
      <w:spacing w:before="100" w:beforeAutospacing="1" w:after="100" w:afterAutospacing="1" w:line="240" w:lineRule="auto"/>
      <w:ind w:firstLine="0"/>
    </w:pPr>
    <w:rPr>
      <w:rFonts w:eastAsia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306B0"/>
    <w:rPr>
      <w:b/>
      <w:bCs/>
    </w:rPr>
  </w:style>
  <w:style w:type="character" w:styleId="Emphasis">
    <w:name w:val="Emphasis"/>
    <w:basedOn w:val="DefaultParagraphFont"/>
    <w:uiPriority w:val="20"/>
    <w:qFormat/>
    <w:rsid w:val="00E306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Estabrook</dc:creator>
  <cp:keywords/>
  <dc:description/>
  <cp:lastModifiedBy>Isaac Estabrook</cp:lastModifiedBy>
  <cp:revision>5</cp:revision>
  <cp:lastPrinted>2025-10-15T14:10:00Z</cp:lastPrinted>
  <dcterms:created xsi:type="dcterms:W3CDTF">2025-10-15T10:48:00Z</dcterms:created>
  <dcterms:modified xsi:type="dcterms:W3CDTF">2026-02-26T16:05:00Z</dcterms:modified>
</cp:coreProperties>
</file>