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0768" w14:textId="5F318B66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Alphabet Inc. (GOOG/GOOGL): Executive Summary</w:t>
      </w:r>
      <w:r w:rsidR="0011673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(April 3, 2025)</w:t>
      </w:r>
    </w:p>
    <w:p w14:paraId="15280B7B" w14:textId="77777777" w:rsidR="009D766D" w:rsidRPr="009D766D" w:rsidRDefault="00F76194" w:rsidP="009D766D">
      <w:pPr>
        <w:spacing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23DEA5E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C4D3A56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I. Company Overview and Revenue Sources</w:t>
      </w:r>
    </w:p>
    <w:p w14:paraId="79C3C81C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Alphabet Inc. is a diversified technology conglomerate operating through three major segments:</w:t>
      </w:r>
    </w:p>
    <w:p w14:paraId="66E0D653" w14:textId="77777777" w:rsidR="009D766D" w:rsidRPr="009D766D" w:rsidRDefault="009D766D" w:rsidP="009D7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Google Services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Core business; includes Search, YouTube, Android, Chrome, Gmail, Maps, and consumer hardware. Primary revenue from </w:t>
      </w: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advertising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 (~77% of total revenue).</w:t>
      </w:r>
    </w:p>
    <w:p w14:paraId="5A8B2D9B" w14:textId="77777777" w:rsidR="009D766D" w:rsidRPr="009D766D" w:rsidRDefault="009D766D" w:rsidP="009D7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Google Cloud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Offers Google Cloud Platform (GCP) and Google Workspace. Revenue from </w:t>
      </w: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enterprise cloud services and subscriptions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 (~12%).</w:t>
      </w:r>
    </w:p>
    <w:p w14:paraId="28616C07" w14:textId="77777777" w:rsidR="009D766D" w:rsidRPr="009D766D" w:rsidRDefault="009D766D" w:rsidP="009D76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Other Bets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Moonshots like Waymo (autonomous driving), Verily (health tech), and DeepMind (AI research). Collectively burn </w:t>
      </w:r>
      <w:proofErr w:type="gramStart"/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cash;</w:t>
      </w:r>
      <w:proofErr w:type="gramEnd"/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minimal revenue impact.</w:t>
      </w:r>
    </w:p>
    <w:p w14:paraId="3C79FE6B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Revenue Breakdown (2023)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14:paraId="2F22195A" w14:textId="77777777" w:rsidR="009D766D" w:rsidRPr="009D766D" w:rsidRDefault="009D766D" w:rsidP="009D76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Total Revenue: $324B</w:t>
      </w:r>
    </w:p>
    <w:p w14:paraId="4A335A4D" w14:textId="77777777" w:rsidR="009D766D" w:rsidRPr="009D766D" w:rsidRDefault="009D766D" w:rsidP="009D76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Google Search &amp; Other: $175B</w:t>
      </w:r>
    </w:p>
    <w:p w14:paraId="2F1C1630" w14:textId="77777777" w:rsidR="009D766D" w:rsidRPr="009D766D" w:rsidRDefault="009D766D" w:rsidP="009D76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YouTube Ads: $40B</w:t>
      </w:r>
    </w:p>
    <w:p w14:paraId="638BFD96" w14:textId="77777777" w:rsidR="009D766D" w:rsidRPr="009D766D" w:rsidRDefault="009D766D" w:rsidP="009D76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Google Network Members: $32B</w:t>
      </w:r>
    </w:p>
    <w:p w14:paraId="0C8C4EA5" w14:textId="77777777" w:rsidR="009D766D" w:rsidRPr="009D766D" w:rsidRDefault="009D766D" w:rsidP="009D76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Google Cloud: $39B</w:t>
      </w:r>
    </w:p>
    <w:p w14:paraId="7DB1B9AC" w14:textId="77777777" w:rsidR="009D766D" w:rsidRPr="009D766D" w:rsidRDefault="009D766D" w:rsidP="009D766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Other Bets: &lt;$2B</w:t>
      </w:r>
    </w:p>
    <w:p w14:paraId="262D025B" w14:textId="77777777" w:rsidR="009D766D" w:rsidRPr="009D766D" w:rsidRDefault="00F76194" w:rsidP="009D766D">
      <w:pPr>
        <w:spacing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2F8E8C9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7C0351A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II. Growth Trends and Strategic Shifts</w:t>
      </w:r>
    </w:p>
    <w:p w14:paraId="13C1EA55" w14:textId="77777777" w:rsidR="009D766D" w:rsidRPr="009D766D" w:rsidRDefault="009D766D" w:rsidP="009D7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Search &amp; YouTube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Growing mid-high single digits; monetization stable.</w:t>
      </w:r>
    </w:p>
    <w:p w14:paraId="11478816" w14:textId="77777777" w:rsidR="009D766D" w:rsidRPr="009D766D" w:rsidRDefault="009D766D" w:rsidP="009D7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Cloud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Accelerating profitability; ~26% YoY revenue growth in 2023.</w:t>
      </w:r>
    </w:p>
    <w:p w14:paraId="003C793B" w14:textId="163A26D4" w:rsidR="009D766D" w:rsidRPr="009D766D" w:rsidRDefault="009D766D" w:rsidP="009D7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AI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: Gemini </w:t>
      </w:r>
      <w:r w:rsidR="00C944C4"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Pro is competitive. Integration into Search, Workspace, and Cloud opens monetization option</w:t>
      </w:r>
      <w:r w:rsidR="00C944C4">
        <w:rPr>
          <w:rFonts w:ascii="Calibri" w:eastAsia="Times New Roman" w:hAnsi="Calibri" w:cs="Calibri"/>
          <w:color w:val="000000"/>
          <w:kern w:val="0"/>
          <w14:ligatures w14:val="none"/>
        </w:rPr>
        <w:t>s.</w:t>
      </w:r>
    </w:p>
    <w:p w14:paraId="2B03799E" w14:textId="77777777" w:rsidR="009D766D" w:rsidRPr="009D766D" w:rsidRDefault="009D766D" w:rsidP="009D76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Efficiency Focus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Cost-cutting, layoffs, and AI-driven operational improvements.</w:t>
      </w:r>
    </w:p>
    <w:p w14:paraId="3F5D6A2E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Key 5-Year Growth Averages (2018-2023):</w:t>
      </w:r>
    </w:p>
    <w:p w14:paraId="7DBF4F62" w14:textId="77777777" w:rsidR="009D766D" w:rsidRPr="009D766D" w:rsidRDefault="009D766D" w:rsidP="009D76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Revenue CAGR: ~13%</w:t>
      </w:r>
    </w:p>
    <w:p w14:paraId="2F55594A" w14:textId="77777777" w:rsidR="009D766D" w:rsidRPr="009D766D" w:rsidRDefault="009D766D" w:rsidP="009D76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EPS CAGR: ~18% (buybacks boost per-share metrics)</w:t>
      </w:r>
    </w:p>
    <w:p w14:paraId="784F3AEE" w14:textId="77777777" w:rsidR="009D766D" w:rsidRPr="009D766D" w:rsidRDefault="00F76194" w:rsidP="009D766D">
      <w:pPr>
        <w:spacing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0AB5739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294AE81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III. Financial Highlights and Ratios (Updated)</w:t>
      </w:r>
    </w:p>
    <w:p w14:paraId="6CF74FDF" w14:textId="77777777" w:rsidR="009D766D" w:rsidRPr="009D766D" w:rsidRDefault="009D766D" w:rsidP="009D76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lastRenderedPageBreak/>
        <w:t>Operating Margin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~27% (GAAP)</w:t>
      </w:r>
    </w:p>
    <w:p w14:paraId="66C00303" w14:textId="77777777" w:rsidR="009D766D" w:rsidRPr="009D766D" w:rsidRDefault="009D766D" w:rsidP="009D76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Net Income Margin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~23%</w:t>
      </w:r>
    </w:p>
    <w:p w14:paraId="6F408498" w14:textId="77777777" w:rsidR="009D766D" w:rsidRPr="009D766D" w:rsidRDefault="009D766D" w:rsidP="009D76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Free Cash Flow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$72.76B (2024)</w:t>
      </w:r>
    </w:p>
    <w:p w14:paraId="192BBAC0" w14:textId="77777777" w:rsidR="009D766D" w:rsidRPr="009D766D" w:rsidRDefault="009D766D" w:rsidP="009D76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CapEx</w:t>
      </w:r>
      <w:proofErr w:type="spellEnd"/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~$32B (mostly AI and data infrastructure)</w:t>
      </w:r>
    </w:p>
    <w:p w14:paraId="3DA81112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Balance Sheet (2024):</w:t>
      </w:r>
    </w:p>
    <w:p w14:paraId="73A3B7A7" w14:textId="77777777" w:rsidR="009D766D" w:rsidRPr="009D766D" w:rsidRDefault="009D766D" w:rsidP="009D76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Cash &amp; Short-Term Investments: $95.66B</w:t>
      </w:r>
    </w:p>
    <w:p w14:paraId="6AC972E2" w14:textId="77777777" w:rsidR="009D766D" w:rsidRPr="009D766D" w:rsidRDefault="009D766D" w:rsidP="009D76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Total Debt: $28.14B</w:t>
      </w:r>
    </w:p>
    <w:p w14:paraId="4D4933A0" w14:textId="77777777" w:rsidR="009D766D" w:rsidRPr="009D766D" w:rsidRDefault="009D766D" w:rsidP="009D76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Net Cash Position: ~$67.5B</w:t>
      </w:r>
    </w:p>
    <w:p w14:paraId="0C4E4DC8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Efficiency Ratios:</w:t>
      </w:r>
    </w:p>
    <w:p w14:paraId="330A9E2A" w14:textId="77777777" w:rsidR="009D766D" w:rsidRPr="009D766D" w:rsidRDefault="009D766D" w:rsidP="009D76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ROA (2024): 23.52%</w:t>
      </w:r>
    </w:p>
    <w:p w14:paraId="3962870D" w14:textId="77777777" w:rsidR="009D766D" w:rsidRPr="009D766D" w:rsidRDefault="009D766D" w:rsidP="009D76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ROE (2024): 32.48%</w:t>
      </w:r>
    </w:p>
    <w:p w14:paraId="13E3D6BE" w14:textId="77777777" w:rsidR="009D766D" w:rsidRPr="009D766D" w:rsidRDefault="009D766D" w:rsidP="009D76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ROIC: ~25%</w:t>
      </w:r>
    </w:p>
    <w:p w14:paraId="26B1E269" w14:textId="77777777" w:rsidR="009D766D" w:rsidRPr="009D766D" w:rsidRDefault="009D766D" w:rsidP="009D76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Share Buyback: $70B authorized, 1.8% net reduction in diluted shares outstanding</w:t>
      </w:r>
    </w:p>
    <w:p w14:paraId="11479024" w14:textId="77777777" w:rsidR="009D766D" w:rsidRPr="009D766D" w:rsidRDefault="009D766D" w:rsidP="009D76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Current Ratio: 1.84</w:t>
      </w:r>
    </w:p>
    <w:p w14:paraId="01717F30" w14:textId="77777777" w:rsidR="009D766D" w:rsidRPr="009D766D" w:rsidRDefault="009D766D" w:rsidP="009D76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Debt-to-Equity Ratio: 0.39</w:t>
      </w:r>
    </w:p>
    <w:p w14:paraId="7A28FA33" w14:textId="77777777" w:rsidR="009D766D" w:rsidRPr="009D766D" w:rsidRDefault="00F76194" w:rsidP="009D766D">
      <w:pPr>
        <w:spacing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6E21009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113655A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IV. Valuation Models</w:t>
      </w:r>
    </w:p>
    <w:p w14:paraId="3023DF13" w14:textId="28435C81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Current Price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~$15</w:t>
      </w:r>
      <w:r w:rsidR="00116732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/share</w:t>
      </w:r>
    </w:p>
    <w:p w14:paraId="6B31AA46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Price-to-Earnings (TTM)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19x </w:t>
      </w:r>
    </w:p>
    <w:p w14:paraId="6B5E3F7B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Price-to-Sales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6x </w:t>
      </w:r>
    </w:p>
    <w:p w14:paraId="19B63BDC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EV/EBIT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~16x</w:t>
      </w:r>
    </w:p>
    <w:p w14:paraId="7F23293B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1. DCF Model (Base Case - Conservative in my opinion)</w:t>
      </w:r>
    </w:p>
    <w:p w14:paraId="02F1B320" w14:textId="77777777" w:rsidR="009D766D" w:rsidRPr="009D766D" w:rsidRDefault="009D766D" w:rsidP="009D76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Revenue Growth: 10% CAGR (next 5 years)</w:t>
      </w:r>
    </w:p>
    <w:p w14:paraId="0D717B51" w14:textId="77777777" w:rsidR="009D766D" w:rsidRPr="009D766D" w:rsidRDefault="009D766D" w:rsidP="009D76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FCF Margin: 23%</w:t>
      </w:r>
    </w:p>
    <w:p w14:paraId="559477BE" w14:textId="77777777" w:rsidR="009D766D" w:rsidRPr="009D766D" w:rsidRDefault="009D766D" w:rsidP="009D76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WACC: 8%</w:t>
      </w:r>
    </w:p>
    <w:p w14:paraId="3BC29009" w14:textId="77777777" w:rsidR="009D766D" w:rsidRPr="009D766D" w:rsidRDefault="009D766D" w:rsidP="009D76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Terminal Growth: 3%</w:t>
      </w:r>
    </w:p>
    <w:p w14:paraId="321C8535" w14:textId="77777777" w:rsidR="009D766D" w:rsidRPr="009D766D" w:rsidRDefault="009D766D" w:rsidP="009D76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Implied Value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: ~$187/share</w:t>
      </w:r>
    </w:p>
    <w:p w14:paraId="0B2F173A" w14:textId="25567C6D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2. Ben Graham Formula</w:t>
      </w:r>
      <w:r w:rsidR="0011673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(Quick Estimate</w:t>
      </w:r>
      <w:r w:rsidR="0006372C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– Sanity Check</w:t>
      </w:r>
      <w:r w:rsidR="0011673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)</w:t>
      </w:r>
    </w:p>
    <w:p w14:paraId="289ABECC" w14:textId="77777777" w:rsidR="009D766D" w:rsidRPr="009D766D" w:rsidRDefault="009D766D" w:rsidP="009D76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EPS (TTM): ~$6.50</w:t>
      </w:r>
    </w:p>
    <w:p w14:paraId="539670D3" w14:textId="77777777" w:rsidR="009D766D" w:rsidRPr="009D766D" w:rsidRDefault="009D766D" w:rsidP="009D76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Growth Rate (conservative): 9%</w:t>
      </w:r>
    </w:p>
    <w:p w14:paraId="4D732AE3" w14:textId="77777777" w:rsidR="009D766D" w:rsidRPr="009D766D" w:rsidRDefault="009D766D" w:rsidP="009D76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Formula: V = EPS × (8.5 + 2g) = 6.5 × (8.5 + 18) = ~$173</w:t>
      </w:r>
    </w:p>
    <w:p w14:paraId="5641374E" w14:textId="6642597E" w:rsidR="009D766D" w:rsidRPr="009D766D" w:rsidRDefault="009D766D" w:rsidP="009D76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Current Price: ~$</w:t>
      </w:r>
      <w:r w:rsidR="00116732">
        <w:rPr>
          <w:rFonts w:ascii="Calibri" w:eastAsia="Times New Roman" w:hAnsi="Calibri" w:cs="Calibri"/>
          <w:color w:val="000000"/>
          <w:kern w:val="0"/>
          <w14:ligatures w14:val="none"/>
        </w:rPr>
        <w:t>155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→ Slightly undervalued</w:t>
      </w:r>
      <w:r w:rsidR="0011673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(~12%)</w:t>
      </w:r>
    </w:p>
    <w:p w14:paraId="1EF39A4F" w14:textId="77777777" w:rsidR="009D766D" w:rsidRPr="009D766D" w:rsidRDefault="00F76194" w:rsidP="009D766D">
      <w:pPr>
        <w:spacing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031FE1E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2737C8E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V. Competitive Landscape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2701"/>
        <w:gridCol w:w="3972"/>
      </w:tblGrid>
      <w:tr w:rsidR="009D766D" w:rsidRPr="009D766D" w14:paraId="10497795" w14:textId="77777777" w:rsidTr="009D76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DFB60" w14:textId="77777777" w:rsidR="009D766D" w:rsidRPr="009D766D" w:rsidRDefault="009D766D" w:rsidP="009D766D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Segment</w:t>
            </w:r>
          </w:p>
        </w:tc>
        <w:tc>
          <w:tcPr>
            <w:tcW w:w="0" w:type="auto"/>
            <w:vAlign w:val="center"/>
            <w:hideMark/>
          </w:tcPr>
          <w:p w14:paraId="332156AA" w14:textId="77777777" w:rsidR="009D766D" w:rsidRPr="009D766D" w:rsidRDefault="009D766D" w:rsidP="009D766D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Key Competitors</w:t>
            </w:r>
          </w:p>
        </w:tc>
        <w:tc>
          <w:tcPr>
            <w:tcW w:w="0" w:type="auto"/>
            <w:vAlign w:val="center"/>
            <w:hideMark/>
          </w:tcPr>
          <w:p w14:paraId="21067880" w14:textId="63DF99CB" w:rsidR="009D766D" w:rsidRPr="009D766D" w:rsidRDefault="009D766D" w:rsidP="009D766D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Alphabet's </w:t>
            </w:r>
            <w:r w:rsidR="002E2E7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Competitive Position</w:t>
            </w:r>
          </w:p>
        </w:tc>
      </w:tr>
      <w:tr w:rsidR="009D766D" w:rsidRPr="009D766D" w14:paraId="548C6DF0" w14:textId="77777777" w:rsidTr="009D76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D41A1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Search</w:t>
            </w:r>
          </w:p>
        </w:tc>
        <w:tc>
          <w:tcPr>
            <w:tcW w:w="0" w:type="auto"/>
            <w:vAlign w:val="center"/>
            <w:hideMark/>
          </w:tcPr>
          <w:p w14:paraId="794BA7A9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Microsoft (Bing + ChatGPT)</w:t>
            </w:r>
          </w:p>
        </w:tc>
        <w:tc>
          <w:tcPr>
            <w:tcW w:w="0" w:type="auto"/>
            <w:vAlign w:val="center"/>
            <w:hideMark/>
          </w:tcPr>
          <w:p w14:paraId="666BE711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Scale, ad ROI, real-time web data</w:t>
            </w:r>
          </w:p>
        </w:tc>
      </w:tr>
      <w:tr w:rsidR="009D766D" w:rsidRPr="009D766D" w14:paraId="1C7FCB66" w14:textId="77777777" w:rsidTr="009D76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26635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YouTube</w:t>
            </w:r>
          </w:p>
        </w:tc>
        <w:tc>
          <w:tcPr>
            <w:tcW w:w="0" w:type="auto"/>
            <w:vAlign w:val="center"/>
            <w:hideMark/>
          </w:tcPr>
          <w:p w14:paraId="1BF7C6D0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TikTok, Netflix</w:t>
            </w:r>
          </w:p>
        </w:tc>
        <w:tc>
          <w:tcPr>
            <w:tcW w:w="0" w:type="auto"/>
            <w:vAlign w:val="center"/>
            <w:hideMark/>
          </w:tcPr>
          <w:p w14:paraId="0B92DEF3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Monetization, UGC, creator ecosystem</w:t>
            </w:r>
          </w:p>
        </w:tc>
      </w:tr>
      <w:tr w:rsidR="009D766D" w:rsidRPr="009D766D" w14:paraId="611E75C5" w14:textId="77777777" w:rsidTr="009D76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AC797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Ads Platform</w:t>
            </w:r>
          </w:p>
        </w:tc>
        <w:tc>
          <w:tcPr>
            <w:tcW w:w="0" w:type="auto"/>
            <w:vAlign w:val="center"/>
            <w:hideMark/>
          </w:tcPr>
          <w:p w14:paraId="4BB7ED42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Meta, Amazon</w:t>
            </w:r>
          </w:p>
        </w:tc>
        <w:tc>
          <w:tcPr>
            <w:tcW w:w="0" w:type="auto"/>
            <w:vAlign w:val="center"/>
            <w:hideMark/>
          </w:tcPr>
          <w:p w14:paraId="6A15CB20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Integration, reach, data flywheel</w:t>
            </w:r>
          </w:p>
        </w:tc>
      </w:tr>
      <w:tr w:rsidR="009D766D" w:rsidRPr="009D766D" w14:paraId="12128B17" w14:textId="77777777" w:rsidTr="009D76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8FD07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Cloud</w:t>
            </w:r>
          </w:p>
        </w:tc>
        <w:tc>
          <w:tcPr>
            <w:tcW w:w="0" w:type="auto"/>
            <w:vAlign w:val="center"/>
            <w:hideMark/>
          </w:tcPr>
          <w:p w14:paraId="502FD60D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AWS, Microsoft Azure</w:t>
            </w:r>
          </w:p>
        </w:tc>
        <w:tc>
          <w:tcPr>
            <w:tcW w:w="0" w:type="auto"/>
            <w:vAlign w:val="center"/>
            <w:hideMark/>
          </w:tcPr>
          <w:p w14:paraId="563388C3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Late to profit, but gaining share</w:t>
            </w:r>
          </w:p>
        </w:tc>
      </w:tr>
      <w:tr w:rsidR="009D766D" w:rsidRPr="009D766D" w14:paraId="791EB6A2" w14:textId="77777777" w:rsidTr="009D76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EBA8F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AI Models</w:t>
            </w:r>
          </w:p>
        </w:tc>
        <w:tc>
          <w:tcPr>
            <w:tcW w:w="0" w:type="auto"/>
            <w:vAlign w:val="center"/>
            <w:hideMark/>
          </w:tcPr>
          <w:p w14:paraId="6EF7EB8B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OpenAI, Anthropic, Meta</w:t>
            </w:r>
          </w:p>
        </w:tc>
        <w:tc>
          <w:tcPr>
            <w:tcW w:w="0" w:type="auto"/>
            <w:vAlign w:val="center"/>
            <w:hideMark/>
          </w:tcPr>
          <w:p w14:paraId="38142D68" w14:textId="77777777" w:rsidR="009D766D" w:rsidRPr="009D766D" w:rsidRDefault="009D766D" w:rsidP="009D766D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D766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Strong research, weak consumer rollout</w:t>
            </w:r>
          </w:p>
        </w:tc>
      </w:tr>
    </w:tbl>
    <w:p w14:paraId="2A516C79" w14:textId="0F60FC32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Judgment: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 Alphabet is losing some innovation ground in AI tools but retains dominant scale, brand, and infrastructure in core businesses.  Search volume is still growing. Cloud and AI are</w:t>
      </w:r>
      <w:r w:rsidR="000637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likely to keep growing in the medium term.</w:t>
      </w:r>
    </w:p>
    <w:p w14:paraId="10BB2EF5" w14:textId="77777777" w:rsidR="009D766D" w:rsidRPr="009D766D" w:rsidRDefault="00F76194" w:rsidP="009D766D">
      <w:pPr>
        <w:spacing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7929482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052E0A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VI. Strategic and Financial Outlook</w:t>
      </w:r>
    </w:p>
    <w:p w14:paraId="79C428F2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Path to Stock Doubling in 7 Years (~10.4% CAGR Needed):</w:t>
      </w:r>
    </w:p>
    <w:p w14:paraId="7563BABB" w14:textId="64E26EC3" w:rsidR="009D766D" w:rsidRPr="009D766D" w:rsidRDefault="009D766D" w:rsidP="009D76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EPS Growth: ~10%/yr (Cloud + AI </w:t>
      </w:r>
      <w:r w:rsidR="00116732">
        <w:rPr>
          <w:rFonts w:ascii="Calibri" w:eastAsia="Times New Roman" w:hAnsi="Calibri" w:cs="Calibri"/>
          <w:color w:val="000000"/>
          <w:kern w:val="0"/>
          <w14:ligatures w14:val="none"/>
        </w:rPr>
        <w:t>products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0DFF8AA7" w14:textId="77777777" w:rsidR="009D766D" w:rsidRPr="009D766D" w:rsidRDefault="009D766D" w:rsidP="009D76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Buybacks: ~2% EPS tailwind</w:t>
      </w:r>
    </w:p>
    <w:p w14:paraId="1F76DFBE" w14:textId="77777777" w:rsidR="009D766D" w:rsidRPr="009D766D" w:rsidRDefault="009D766D" w:rsidP="009D76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P/E Expansion: Modest (to 22–24x)</w:t>
      </w:r>
    </w:p>
    <w:p w14:paraId="2E7242E8" w14:textId="078F2DEB" w:rsidR="009D766D" w:rsidRDefault="00116732" w:rsidP="009D76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Dividend: currently small, not needed under other assumptions</w:t>
      </w:r>
    </w:p>
    <w:p w14:paraId="4C70CA79" w14:textId="1120019C" w:rsidR="00116732" w:rsidRPr="009D766D" w:rsidRDefault="00116732" w:rsidP="00116732">
      <w:pPr>
        <w:spacing w:before="100" w:beforeAutospacing="1" w:after="100" w:afterAutospacing="1" w:line="240" w:lineRule="auto"/>
        <w:ind w:left="360"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I believe that this is realistically achievable, making Alphabet an interesting investment.</w:t>
      </w:r>
    </w:p>
    <w:p w14:paraId="707D91AC" w14:textId="77777777" w:rsidR="009D766D" w:rsidRPr="009D766D" w:rsidRDefault="009D766D" w:rsidP="009D766D">
      <w:pPr>
        <w:spacing w:before="100" w:beforeAutospacing="1" w:after="100" w:afterAutospacing="1"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Risks:</w:t>
      </w:r>
    </w:p>
    <w:p w14:paraId="1C4A7A0F" w14:textId="4B51226C" w:rsidR="009D766D" w:rsidRPr="009D766D" w:rsidRDefault="009D766D" w:rsidP="009D76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Antitrust and regulatory</w:t>
      </w:r>
      <w:r w:rsidR="0006372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(EU, US </w:t>
      </w:r>
      <w:r w:rsidR="0006372C">
        <w:rPr>
          <w:rFonts w:ascii="Calibri" w:eastAsia="Times New Roman" w:hAnsi="Calibri" w:cs="Calibri"/>
          <w:color w:val="000000"/>
          <w:kern w:val="0"/>
          <w14:ligatures w14:val="none"/>
        </w:rPr>
        <w:t>Antitrust</w:t>
      </w: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70394D9D" w14:textId="77777777" w:rsidR="009D766D" w:rsidRPr="009D766D" w:rsidRDefault="009D766D" w:rsidP="009D76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AI cannibalizing Search or slowing monetization</w:t>
      </w:r>
    </w:p>
    <w:p w14:paraId="61637AC4" w14:textId="70217505" w:rsidR="009D766D" w:rsidRPr="009D766D" w:rsidRDefault="0006372C" w:rsidP="009D76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Company c</w:t>
      </w:r>
      <w:r w:rsidR="009D766D" w:rsidRPr="009D766D">
        <w:rPr>
          <w:rFonts w:ascii="Calibri" w:eastAsia="Times New Roman" w:hAnsi="Calibri" w:cs="Calibri"/>
          <w:color w:val="000000"/>
          <w:kern w:val="0"/>
          <w14:ligatures w14:val="none"/>
        </w:rPr>
        <w:t>ultural malaise post-COVID (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reduced </w:t>
      </w:r>
      <w:r w:rsidR="009D766D" w:rsidRPr="009D766D">
        <w:rPr>
          <w:rFonts w:ascii="Calibri" w:eastAsia="Times New Roman" w:hAnsi="Calibri" w:cs="Calibri"/>
          <w:color w:val="000000"/>
          <w:kern w:val="0"/>
          <w14:ligatures w14:val="none"/>
        </w:rPr>
        <w:t>innovation, speed)</w:t>
      </w:r>
    </w:p>
    <w:p w14:paraId="40699F46" w14:textId="77777777" w:rsidR="009D766D" w:rsidRPr="009D766D" w:rsidRDefault="009D766D" w:rsidP="009D76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D766D">
        <w:rPr>
          <w:rFonts w:ascii="Calibri" w:eastAsia="Times New Roman" w:hAnsi="Calibri" w:cs="Calibri"/>
          <w:color w:val="000000"/>
          <w:kern w:val="0"/>
          <w14:ligatures w14:val="none"/>
        </w:rPr>
        <w:t>Stock-based comp remains high but declining</w:t>
      </w:r>
    </w:p>
    <w:p w14:paraId="2F1013C0" w14:textId="77777777" w:rsidR="009D766D" w:rsidRPr="009D766D" w:rsidRDefault="00F76194" w:rsidP="009D766D">
      <w:pPr>
        <w:spacing w:line="240" w:lineRule="auto"/>
        <w:ind w:firstLine="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</w:rPr>
        <w:pict w14:anchorId="3FC1209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F2CF07B" w14:textId="77777777" w:rsidR="00B35C0A" w:rsidRPr="009D766D" w:rsidRDefault="00B35C0A">
      <w:pPr>
        <w:rPr>
          <w:rFonts w:ascii="Calibri" w:hAnsi="Calibri" w:cs="Calibri"/>
        </w:rPr>
      </w:pPr>
    </w:p>
    <w:sectPr w:rsidR="00B35C0A" w:rsidRPr="009D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E0C"/>
    <w:multiLevelType w:val="multilevel"/>
    <w:tmpl w:val="3716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971A5"/>
    <w:multiLevelType w:val="multilevel"/>
    <w:tmpl w:val="09E2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42BEE"/>
    <w:multiLevelType w:val="multilevel"/>
    <w:tmpl w:val="E49C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83044"/>
    <w:multiLevelType w:val="multilevel"/>
    <w:tmpl w:val="D776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29532D"/>
    <w:multiLevelType w:val="multilevel"/>
    <w:tmpl w:val="55C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44936"/>
    <w:multiLevelType w:val="multilevel"/>
    <w:tmpl w:val="E5F8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275E8"/>
    <w:multiLevelType w:val="multilevel"/>
    <w:tmpl w:val="1EB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05B0C"/>
    <w:multiLevelType w:val="multilevel"/>
    <w:tmpl w:val="39EC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636F4"/>
    <w:multiLevelType w:val="multilevel"/>
    <w:tmpl w:val="F3CC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96BEE"/>
    <w:multiLevelType w:val="multilevel"/>
    <w:tmpl w:val="A1D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C711B6"/>
    <w:multiLevelType w:val="multilevel"/>
    <w:tmpl w:val="2FC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104770">
    <w:abstractNumId w:val="5"/>
  </w:num>
  <w:num w:numId="2" w16cid:durableId="852063126">
    <w:abstractNumId w:val="10"/>
  </w:num>
  <w:num w:numId="3" w16cid:durableId="1072853930">
    <w:abstractNumId w:val="3"/>
  </w:num>
  <w:num w:numId="4" w16cid:durableId="624431850">
    <w:abstractNumId w:val="0"/>
  </w:num>
  <w:num w:numId="5" w16cid:durableId="502089506">
    <w:abstractNumId w:val="1"/>
  </w:num>
  <w:num w:numId="6" w16cid:durableId="723214347">
    <w:abstractNumId w:val="7"/>
  </w:num>
  <w:num w:numId="7" w16cid:durableId="1497454418">
    <w:abstractNumId w:val="9"/>
  </w:num>
  <w:num w:numId="8" w16cid:durableId="1235241693">
    <w:abstractNumId w:val="6"/>
  </w:num>
  <w:num w:numId="9" w16cid:durableId="2030134042">
    <w:abstractNumId w:val="8"/>
  </w:num>
  <w:num w:numId="10" w16cid:durableId="1040933211">
    <w:abstractNumId w:val="2"/>
  </w:num>
  <w:num w:numId="11" w16cid:durableId="1693458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6D"/>
    <w:rsid w:val="0006372C"/>
    <w:rsid w:val="000F775B"/>
    <w:rsid w:val="00116732"/>
    <w:rsid w:val="00124D94"/>
    <w:rsid w:val="002E2E7C"/>
    <w:rsid w:val="00306270"/>
    <w:rsid w:val="0032769B"/>
    <w:rsid w:val="004E4961"/>
    <w:rsid w:val="0070375D"/>
    <w:rsid w:val="007B102D"/>
    <w:rsid w:val="009D766D"/>
    <w:rsid w:val="00A65743"/>
    <w:rsid w:val="00B35C0A"/>
    <w:rsid w:val="00B91343"/>
    <w:rsid w:val="00BA41B5"/>
    <w:rsid w:val="00C944C4"/>
    <w:rsid w:val="00ED7E40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9509"/>
  <w15:chartTrackingRefBased/>
  <w15:docId w15:val="{862473B0-C080-F04D-B5FB-75E3A82B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6D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6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6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6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D766D"/>
    <w:pPr>
      <w:spacing w:before="100" w:beforeAutospacing="1" w:after="100" w:afterAutospacing="1" w:line="240" w:lineRule="auto"/>
      <w:ind w:firstLine="0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D766D"/>
    <w:rPr>
      <w:b/>
      <w:bCs/>
    </w:rPr>
  </w:style>
  <w:style w:type="character" w:customStyle="1" w:styleId="apple-converted-space">
    <w:name w:val="apple-converted-space"/>
    <w:basedOn w:val="DefaultParagraphFont"/>
    <w:rsid w:val="009D7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9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Estabrook</dc:creator>
  <cp:keywords/>
  <dc:description/>
  <cp:lastModifiedBy>Isaac Estabrook</cp:lastModifiedBy>
  <cp:revision>5</cp:revision>
  <dcterms:created xsi:type="dcterms:W3CDTF">2025-04-03T12:20:00Z</dcterms:created>
  <dcterms:modified xsi:type="dcterms:W3CDTF">2025-10-15T14:14:00Z</dcterms:modified>
</cp:coreProperties>
</file>